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185FE6DD" w:rsidR="00154AB6" w:rsidRDefault="00B7633A" w:rsidP="00592402">
      <w:pPr>
        <w:pStyle w:val="Heading1"/>
        <w:spacing w:before="0" w:after="48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EE06E" wp14:editId="3579C793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-279400</wp:posOffset>
                </wp:positionV>
                <wp:extent cx="714375" cy="276225"/>
                <wp:effectExtent l="0" t="0" r="0" b="0"/>
                <wp:wrapNone/>
                <wp:docPr id="5759800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A656C" w14:textId="41A729FE" w:rsidR="00367CD5" w:rsidRPr="00E34D36" w:rsidRDefault="00367CD5" w:rsidP="00367CD5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bookmarkStart w:id="0" w:name="_Hlk161741484"/>
                            <w:r w:rsidRPr="00E34D36">
                              <w:rPr>
                                <w:sz w:val="14"/>
                                <w:szCs w:val="14"/>
                              </w:rPr>
                              <w:t>202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40</w:t>
                            </w:r>
                            <w:r w:rsidR="00B7633A">
                              <w:rPr>
                                <w:sz w:val="14"/>
                                <w:szCs w:val="14"/>
                              </w:rPr>
                              <w:t>425</w:t>
                            </w:r>
                          </w:p>
                          <w:p w14:paraId="1627D1E3" w14:textId="6D7B28D5" w:rsidR="00367CD5" w:rsidRPr="00E34D36" w:rsidRDefault="00367CD5" w:rsidP="00367CD5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bookmarkEnd w:id="0"/>
                          <w:p w14:paraId="10ABA1E0" w14:textId="77777777" w:rsidR="00367CD5" w:rsidRDefault="00367CD5" w:rsidP="00367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EE0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4.25pt;margin-top:-22pt;width:5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" filled="f" stroked="f" strokeweight=".5pt">
                <v:textbox>
                  <w:txbxContent>
                    <w:p w14:paraId="28DA656C" w14:textId="41A729FE" w:rsidR="00367CD5" w:rsidRPr="00E34D36" w:rsidRDefault="00367CD5" w:rsidP="00367CD5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bookmarkStart w:id="1" w:name="_Hlk161741484"/>
                      <w:r w:rsidRPr="00E34D36">
                        <w:rPr>
                          <w:sz w:val="14"/>
                          <w:szCs w:val="14"/>
                        </w:rPr>
                        <w:t>202</w:t>
                      </w:r>
                      <w:r>
                        <w:rPr>
                          <w:sz w:val="14"/>
                          <w:szCs w:val="14"/>
                        </w:rPr>
                        <w:t>40</w:t>
                      </w:r>
                      <w:r w:rsidR="00B7633A">
                        <w:rPr>
                          <w:sz w:val="14"/>
                          <w:szCs w:val="14"/>
                        </w:rPr>
                        <w:t>425</w:t>
                      </w:r>
                    </w:p>
                    <w:p w14:paraId="1627D1E3" w14:textId="6D7B28D5" w:rsidR="00367CD5" w:rsidRPr="00E34D36" w:rsidRDefault="00367CD5" w:rsidP="00367CD5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bookmarkEnd w:id="1"/>
                    <w:p w14:paraId="10ABA1E0" w14:textId="77777777" w:rsidR="00367CD5" w:rsidRDefault="00367CD5" w:rsidP="00367CD5"/>
                  </w:txbxContent>
                </v:textbox>
                <w10:wrap anchorx="margin"/>
              </v:shape>
            </w:pict>
          </mc:Fallback>
        </mc:AlternateContent>
      </w:r>
      <w:r w:rsidR="00154AB6">
        <w:rPr>
          <w:b w:val="0"/>
          <w:noProof/>
          <w:szCs w:val="20"/>
        </w:rPr>
        <w:drawing>
          <wp:inline distT="0" distB="0" distL="0" distR="0" wp14:anchorId="6834AB53" wp14:editId="4502BC75">
            <wp:extent cx="1481573" cy="381000"/>
            <wp:effectExtent l="0" t="0" r="4445" b="0"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883" cy="39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F478" w14:textId="3585C12F" w:rsidR="005601A4" w:rsidRDefault="005601A4" w:rsidP="004E4146">
      <w:pPr>
        <w:pStyle w:val="PolicyTitle"/>
      </w:pPr>
      <w:r>
        <w:t xml:space="preserve">Name of </w:t>
      </w:r>
      <w:r w:rsidR="004E4146" w:rsidRPr="004E4146">
        <w:t>Administrative</w:t>
      </w:r>
      <w:r w:rsidR="004E4146" w:rsidRPr="001F3D75">
        <w:t xml:space="preserve"> Procedures</w:t>
      </w:r>
    </w:p>
    <w:p w14:paraId="1B2768F0" w14:textId="2BB34B63" w:rsidR="004E4146" w:rsidRDefault="004E4146" w:rsidP="004E4146">
      <w:pPr>
        <w:pStyle w:val="Subsection"/>
        <w:spacing w:after="0"/>
        <w:rPr>
          <w:szCs w:val="24"/>
        </w:rPr>
      </w:pPr>
      <w:r>
        <w:rPr>
          <w:rStyle w:val="bold"/>
          <w:b/>
          <w:bCs/>
        </w:rPr>
        <w:t xml:space="preserve">Procedure Type: </w:t>
      </w:r>
      <w:r>
        <w:rPr>
          <w:rStyle w:val="bold"/>
          <w:b/>
          <w:bCs/>
        </w:rPr>
        <w:tab/>
      </w:r>
      <w:r w:rsidRPr="004E4146">
        <w:rPr>
          <w:rStyle w:val="bold"/>
        </w:rPr>
        <w:t>Provincial</w:t>
      </w:r>
      <w:r>
        <w:rPr>
          <w:rStyle w:val="bold"/>
        </w:rPr>
        <w:t xml:space="preserve"> </w:t>
      </w:r>
      <w:sdt>
        <w:sdtPr>
          <w:rPr>
            <w:sz w:val="28"/>
            <w:szCs w:val="32"/>
          </w:rPr>
          <w:id w:val="-126746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Pr="000B2431">
        <w:rPr>
          <w:szCs w:val="24"/>
        </w:rPr>
        <w:t xml:space="preserve"> </w:t>
      </w:r>
    </w:p>
    <w:p w14:paraId="0A35482F" w14:textId="470AE52D" w:rsidR="004E4146" w:rsidRDefault="004E4146" w:rsidP="004E4146">
      <w:pPr>
        <w:pStyle w:val="Subsection"/>
        <w:spacing w:before="0" w:after="240"/>
        <w:rPr>
          <w:rStyle w:val="bold"/>
        </w:rPr>
      </w:pPr>
      <w:r w:rsidRPr="000B2431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85EF7">
        <w:rPr>
          <w:rStyle w:val="bold"/>
        </w:rPr>
        <w:t>Regional</w:t>
      </w:r>
      <w:r w:rsidRPr="000B2431">
        <w:rPr>
          <w:szCs w:val="24"/>
        </w:rPr>
        <w:t xml:space="preserve"> </w:t>
      </w:r>
      <w:r>
        <w:rPr>
          <w:szCs w:val="24"/>
        </w:rPr>
        <w:t xml:space="preserve">  </w:t>
      </w:r>
      <w:sdt>
        <w:sdtPr>
          <w:rPr>
            <w:sz w:val="28"/>
            <w:szCs w:val="32"/>
          </w:rPr>
          <w:id w:val="-117194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32"/>
            </w:rPr>
            <w:t>☐</w:t>
          </w:r>
        </w:sdtContent>
      </w:sdt>
      <w:r w:rsidRPr="000B2431">
        <w:rPr>
          <w:szCs w:val="24"/>
        </w:rPr>
        <w:t xml:space="preserve"> </w:t>
      </w:r>
    </w:p>
    <w:p w14:paraId="4BB77238" w14:textId="0137B687" w:rsidR="005601A4" w:rsidRPr="00E056C5" w:rsidRDefault="00E13B43" w:rsidP="004E4146">
      <w:pPr>
        <w:pStyle w:val="Subsection"/>
        <w:spacing w:before="120"/>
        <w:rPr>
          <w:rStyle w:val="bold"/>
          <w:b/>
          <w:bCs/>
        </w:rPr>
      </w:pPr>
      <w:r w:rsidRPr="00E056C5">
        <w:rPr>
          <w:rStyle w:val="bold"/>
          <w:b/>
          <w:bCs/>
        </w:rPr>
        <w:t>Effective Date</w:t>
      </w:r>
      <w:r w:rsidR="005601A4" w:rsidRPr="00E056C5">
        <w:rPr>
          <w:rStyle w:val="bold"/>
          <w:b/>
          <w:bCs/>
        </w:rPr>
        <w:t>: Month YEAR</w:t>
      </w:r>
    </w:p>
    <w:p w14:paraId="0BDD00C1" w14:textId="09499596" w:rsidR="00233F83" w:rsidRPr="00233F83" w:rsidRDefault="00E13B43" w:rsidP="00E056C5">
      <w:pPr>
        <w:pStyle w:val="Subsection"/>
        <w:spacing w:before="120"/>
        <w:rPr>
          <w:rStyle w:val="bold"/>
          <w:b/>
          <w:bCs/>
        </w:rPr>
      </w:pPr>
      <w:r>
        <w:rPr>
          <w:rStyle w:val="bold"/>
          <w:b/>
          <w:bCs/>
        </w:rPr>
        <w:t>Last Updated</w:t>
      </w:r>
      <w:r w:rsidR="005601A4" w:rsidRPr="00E056C5">
        <w:rPr>
          <w:rStyle w:val="bold"/>
          <w:b/>
          <w:bCs/>
        </w:rPr>
        <w:t>: Month YEAR</w:t>
      </w:r>
    </w:p>
    <w:p w14:paraId="35FECFBE" w14:textId="11A10B05" w:rsidR="005601A4" w:rsidRPr="006A694A" w:rsidRDefault="005601A4" w:rsidP="00592402">
      <w:pPr>
        <w:pStyle w:val="Sections"/>
      </w:pPr>
      <w:r w:rsidRPr="006A694A">
        <w:fldChar w:fldCharType="begin"/>
      </w:r>
      <w:r w:rsidRPr="006A694A">
        <w:instrText xml:space="preserve"> SEQ CHAPTER \h \r 1</w:instrText>
      </w:r>
      <w:r w:rsidRPr="006A694A">
        <w:fldChar w:fldCharType="end"/>
      </w:r>
      <w:r w:rsidR="004E4146">
        <w:t>Purpose</w:t>
      </w:r>
    </w:p>
    <w:p w14:paraId="7DC695B0" w14:textId="63CEF807" w:rsidR="00300AF2" w:rsidRPr="00E33E8C" w:rsidRDefault="00E33E8C" w:rsidP="00300AF2">
      <w:r w:rsidRPr="00E33E8C">
        <w:t>A</w:t>
      </w:r>
      <w:r w:rsidR="00300AF2" w:rsidRPr="00E33E8C">
        <w:t xml:space="preserve"> concise statement outlining how the</w:t>
      </w:r>
      <w:r>
        <w:t>se</w:t>
      </w:r>
      <w:r w:rsidR="00300AF2" w:rsidRPr="00E33E8C">
        <w:t xml:space="preserve"> administrative procedures</w:t>
      </w:r>
      <w:r w:rsidR="00101CD2" w:rsidRPr="00D079FC">
        <w:t xml:space="preserve"> </w:t>
      </w:r>
      <w:r w:rsidR="00300AF2" w:rsidRPr="00E33E8C">
        <w:t xml:space="preserve">support the implementation of the </w:t>
      </w:r>
      <w:r w:rsidR="00101CD2" w:rsidRPr="00D079FC">
        <w:t xml:space="preserve">related </w:t>
      </w:r>
      <w:r w:rsidR="00300AF2" w:rsidRPr="00E33E8C">
        <w:t>policy.</w:t>
      </w:r>
    </w:p>
    <w:p w14:paraId="49AAEEBA" w14:textId="2BC569D4" w:rsidR="005601A4" w:rsidRPr="006A694A" w:rsidRDefault="005601A4" w:rsidP="00592402">
      <w:pPr>
        <w:pStyle w:val="Sections"/>
      </w:pPr>
      <w:r w:rsidRPr="006A694A">
        <w:fldChar w:fldCharType="begin"/>
      </w:r>
      <w:r w:rsidRPr="006A694A">
        <w:instrText xml:space="preserve"> SEQ CHAPTER \h \r 1</w:instrText>
      </w:r>
      <w:r w:rsidRPr="006A694A">
        <w:fldChar w:fldCharType="end"/>
      </w:r>
      <w:r w:rsidRPr="006A694A">
        <w:t>Definitions</w:t>
      </w:r>
      <w:r w:rsidR="00626793">
        <w:t xml:space="preserve"> (if applicable)</w:t>
      </w:r>
    </w:p>
    <w:p w14:paraId="3D952140" w14:textId="128D1A94" w:rsidR="005601A4" w:rsidRDefault="005601A4" w:rsidP="005601A4">
      <w:r w:rsidRPr="00592402">
        <w:rPr>
          <w:b/>
          <w:bCs/>
        </w:rPr>
        <w:t>definition:</w:t>
      </w:r>
      <w:r>
        <w:t xml:space="preserve"> </w:t>
      </w:r>
      <w:r w:rsidRPr="006A694A">
        <w:t xml:space="preserve">A statement of the meaning of words </w:t>
      </w:r>
      <w:r>
        <w:t>that</w:t>
      </w:r>
      <w:r w:rsidRPr="006A694A">
        <w:t xml:space="preserve"> are used in the </w:t>
      </w:r>
      <w:r w:rsidR="00402C3E">
        <w:t>procedures</w:t>
      </w:r>
      <w:r w:rsidR="00402C3E" w:rsidRPr="006A694A">
        <w:t xml:space="preserve"> </w:t>
      </w:r>
      <w:r w:rsidRPr="006A694A">
        <w:t>requir</w:t>
      </w:r>
      <w:r>
        <w:t>ing</w:t>
      </w:r>
      <w:r w:rsidRPr="006A694A">
        <w:t xml:space="preserve"> specificity.</w:t>
      </w:r>
      <w:r>
        <w:t xml:space="preserve"> </w:t>
      </w:r>
      <w:r w:rsidR="00755E80">
        <w:t xml:space="preserve">Use lower case for terms, however, capitalize proper titles. </w:t>
      </w:r>
      <w:r w:rsidR="00402C3E">
        <w:t>These definitions do not appear in the associated policy.</w:t>
      </w:r>
    </w:p>
    <w:p w14:paraId="137F27D6" w14:textId="70834F7A" w:rsidR="00794B0E" w:rsidRDefault="00794B0E" w:rsidP="005601A4">
      <w:r>
        <w:t>D</w:t>
      </w:r>
      <w:r w:rsidRPr="00642AA7">
        <w:t xml:space="preserve">efinitions </w:t>
      </w:r>
      <w:r>
        <w:t>should be</w:t>
      </w:r>
      <w:r w:rsidRPr="00642AA7">
        <w:t xml:space="preserve"> consistent with legislation, regulations</w:t>
      </w:r>
      <w:r w:rsidR="007330E5">
        <w:t>,</w:t>
      </w:r>
      <w:r w:rsidRPr="00642AA7">
        <w:t xml:space="preserve"> and other provincial policies and directives</w:t>
      </w:r>
      <w:r>
        <w:t>.</w:t>
      </w:r>
    </w:p>
    <w:p w14:paraId="5E288FE5" w14:textId="4A721B34" w:rsidR="005601A4" w:rsidRPr="006A694A" w:rsidRDefault="004E4146" w:rsidP="00592402">
      <w:pPr>
        <w:pStyle w:val="Sections"/>
      </w:pPr>
      <w:r>
        <w:t>Administrative Procedures</w:t>
      </w:r>
    </w:p>
    <w:p w14:paraId="696DED9B" w14:textId="77777777" w:rsidR="00017D2E" w:rsidRPr="00017D2E" w:rsidRDefault="00017D2E" w:rsidP="00017D2E">
      <w:pPr>
        <w:pStyle w:val="Subsection"/>
      </w:pPr>
      <w:r w:rsidRPr="007330E5">
        <w:t>3</w:t>
      </w:r>
      <w:r w:rsidR="00BB34E6" w:rsidRPr="00017D2E">
        <w:t>.1</w:t>
      </w:r>
      <w:r w:rsidR="00BB34E6" w:rsidRPr="00017D2E">
        <w:tab/>
      </w:r>
      <w:r w:rsidRPr="00017D2E">
        <w:t>Subsection Heading (if applicable)</w:t>
      </w:r>
    </w:p>
    <w:p w14:paraId="0A30718C" w14:textId="6AFE42FD" w:rsidR="00402C3E" w:rsidRPr="00402C3E" w:rsidRDefault="00402C3E" w:rsidP="00402C3E">
      <w:r w:rsidRPr="00402C3E">
        <w:t>Describe how the policy is to be implemented, by whom, when, where, and how.</w:t>
      </w:r>
      <w:r w:rsidRPr="00402C3E">
        <w:rPr>
          <w:dstrike/>
        </w:rPr>
        <w:t xml:space="preserve"> </w:t>
      </w:r>
    </w:p>
    <w:p w14:paraId="7F80AFF1" w14:textId="68A6B429" w:rsidR="00402C3E" w:rsidRDefault="00402C3E" w:rsidP="00402C3E">
      <w:pPr>
        <w:rPr>
          <w:rFonts w:cstheme="minorHAnsi"/>
        </w:rPr>
      </w:pPr>
      <w:r w:rsidRPr="00685EF7">
        <w:rPr>
          <w:rFonts w:cstheme="minorHAnsi"/>
        </w:rPr>
        <w:t xml:space="preserve">Administrative procedures must provide the details necessary to effectively implement the policy, including who is responsible, who is affected, what is to be done, how it is to be accomplished, </w:t>
      </w:r>
      <w:r>
        <w:rPr>
          <w:rFonts w:cstheme="minorHAnsi"/>
        </w:rPr>
        <w:t xml:space="preserve">and </w:t>
      </w:r>
      <w:r w:rsidRPr="00685EF7">
        <w:rPr>
          <w:rFonts w:cstheme="minorHAnsi"/>
        </w:rPr>
        <w:t xml:space="preserve">anticipated timelines. </w:t>
      </w:r>
    </w:p>
    <w:p w14:paraId="20D36121" w14:textId="25A719F6" w:rsidR="00402C3E" w:rsidRDefault="00402C3E" w:rsidP="00402C3E">
      <w:r w:rsidRPr="00685EF7">
        <w:t>Address any RCE/CSAP specific considerations/variances, if appropriate or required for operational reasons.</w:t>
      </w:r>
    </w:p>
    <w:p w14:paraId="14DE655C" w14:textId="433BD4D0" w:rsidR="00BB34E6" w:rsidRDefault="00017D2E" w:rsidP="00017D2E">
      <w:pPr>
        <w:pStyle w:val="Subsection"/>
      </w:pPr>
      <w:r>
        <w:t>3</w:t>
      </w:r>
      <w:r w:rsidR="00BB34E6" w:rsidRPr="0054442D">
        <w:t>.</w:t>
      </w:r>
      <w:r w:rsidR="00BB34E6">
        <w:t>2</w:t>
      </w:r>
      <w:r w:rsidR="00BB34E6">
        <w:tab/>
      </w:r>
      <w:r w:rsidR="00BB34E6" w:rsidRPr="007330E5">
        <w:rPr>
          <w:b w:val="0"/>
          <w:bCs w:val="0"/>
        </w:rPr>
        <w:t>Etc.</w:t>
      </w:r>
    </w:p>
    <w:p w14:paraId="423BFDF8" w14:textId="26BE594B" w:rsidR="005601A4" w:rsidRDefault="00017D2E" w:rsidP="00592402">
      <w:pPr>
        <w:pStyle w:val="Sections"/>
      </w:pPr>
      <w:r w:rsidRPr="006A694A">
        <w:fldChar w:fldCharType="begin"/>
      </w:r>
      <w:r w:rsidRPr="006A694A">
        <w:instrText xml:space="preserve"> SEQ CHAPTER \h \r 1</w:instrText>
      </w:r>
      <w:r w:rsidRPr="006A694A">
        <w:fldChar w:fldCharType="end"/>
      </w:r>
      <w:r>
        <w:t>Communication and Distribution</w:t>
      </w:r>
    </w:p>
    <w:p w14:paraId="22C81340" w14:textId="453100AA" w:rsidR="00017D2E" w:rsidRDefault="00017D2E" w:rsidP="00017D2E">
      <w:pPr>
        <w:pStyle w:val="Subsection"/>
      </w:pPr>
      <w:r>
        <w:t>4</w:t>
      </w:r>
      <w:r w:rsidR="00BB34E6" w:rsidRPr="00592402">
        <w:t>.1</w:t>
      </w:r>
      <w:r w:rsidR="00BB34E6">
        <w:tab/>
      </w:r>
      <w:r w:rsidRPr="00017D2E">
        <w:t>Communication</w:t>
      </w:r>
    </w:p>
    <w:p w14:paraId="42C79025" w14:textId="73D0D49D" w:rsidR="00402C3E" w:rsidRPr="00685EF7" w:rsidRDefault="00402C3E" w:rsidP="00402C3E">
      <w:r w:rsidRPr="000B5F57">
        <w:t xml:space="preserve">Outline the responsibilities for </w:t>
      </w:r>
      <w:r w:rsidR="00D079FC">
        <w:t xml:space="preserve">communication </w:t>
      </w:r>
      <w:r w:rsidRPr="000B5F57">
        <w:t xml:space="preserve">ensuring </w:t>
      </w:r>
      <w:proofErr w:type="gramStart"/>
      <w:r w:rsidRPr="000B5F57">
        <w:t>that</w:t>
      </w:r>
      <w:proofErr w:type="gramEnd"/>
      <w:r w:rsidRPr="000B5F57">
        <w:rPr>
          <w:rFonts w:eastAsia="Roboto" w:cs="Roboto"/>
        </w:rPr>
        <w:t xml:space="preserve"> </w:t>
      </w:r>
    </w:p>
    <w:p w14:paraId="682C9D91" w14:textId="2A25E694" w:rsidR="00101CD2" w:rsidRPr="000B5F57" w:rsidRDefault="00101CD2" w:rsidP="00101CD2">
      <w:pPr>
        <w:pStyle w:val="Bullet1"/>
        <w:rPr>
          <w:b/>
        </w:rPr>
      </w:pPr>
      <w:r w:rsidRPr="000B5F57">
        <w:t xml:space="preserve">department staff and school administration are notified of new or revised </w:t>
      </w:r>
      <w:proofErr w:type="gramStart"/>
      <w:r w:rsidRPr="000B5F57">
        <w:t>procedures</w:t>
      </w:r>
      <w:proofErr w:type="gramEnd"/>
    </w:p>
    <w:p w14:paraId="3A6384C3" w14:textId="10B42BCC" w:rsidR="00402C3E" w:rsidRPr="00685EF7" w:rsidRDefault="00402C3E" w:rsidP="00D079FC">
      <w:pPr>
        <w:pStyle w:val="Bullet1"/>
        <w:rPr>
          <w:b/>
        </w:rPr>
      </w:pPr>
      <w:r w:rsidRPr="000B5F57">
        <w:lastRenderedPageBreak/>
        <w:t xml:space="preserve">unions will be appropriately consulted and notified of new or revised procedures if their members will be </w:t>
      </w:r>
      <w:proofErr w:type="gramStart"/>
      <w:r w:rsidRPr="000B5F57">
        <w:t>affected</w:t>
      </w:r>
      <w:proofErr w:type="gramEnd"/>
    </w:p>
    <w:p w14:paraId="258C2DD6" w14:textId="77777777" w:rsidR="00017D2E" w:rsidRDefault="00017D2E" w:rsidP="00017D2E">
      <w:pPr>
        <w:pStyle w:val="Subsection"/>
      </w:pPr>
      <w:r>
        <w:t>4</w:t>
      </w:r>
      <w:r w:rsidR="00BB34E6">
        <w:t>.2</w:t>
      </w:r>
      <w:r w:rsidR="00BB34E6">
        <w:tab/>
      </w:r>
      <w:r>
        <w:t>Distribution</w:t>
      </w:r>
    </w:p>
    <w:p w14:paraId="7CA278C9" w14:textId="372E361F" w:rsidR="00402C3E" w:rsidRPr="00685EF7" w:rsidRDefault="00402C3E" w:rsidP="00402C3E">
      <w:r w:rsidRPr="000B5F57">
        <w:t xml:space="preserve">Outline the responsibilities for </w:t>
      </w:r>
      <w:r w:rsidR="002718C8">
        <w:t xml:space="preserve">distribution </w:t>
      </w:r>
      <w:r w:rsidRPr="000B5F57">
        <w:t xml:space="preserve">ensuring </w:t>
      </w:r>
      <w:proofErr w:type="gramStart"/>
      <w:r w:rsidRPr="000B5F57">
        <w:t>that</w:t>
      </w:r>
      <w:proofErr w:type="gramEnd"/>
      <w:r w:rsidRPr="000B5F57">
        <w:rPr>
          <w:rFonts w:eastAsia="Roboto" w:cs="Roboto"/>
        </w:rPr>
        <w:t xml:space="preserve"> </w:t>
      </w:r>
    </w:p>
    <w:p w14:paraId="4AEFEF96" w14:textId="02DF079A" w:rsidR="00402C3E" w:rsidRPr="00685EF7" w:rsidRDefault="00402C3E" w:rsidP="00402C3E">
      <w:pPr>
        <w:pStyle w:val="Bullet1"/>
      </w:pPr>
      <w:r w:rsidRPr="00402C3E">
        <w:t xml:space="preserve">approved policies and associated administrative procedures are available </w:t>
      </w:r>
      <w:proofErr w:type="gramStart"/>
      <w:r w:rsidRPr="00402C3E">
        <w:t>online</w:t>
      </w:r>
      <w:proofErr w:type="gramEnd"/>
      <w:r w:rsidRPr="00402C3E">
        <w:t xml:space="preserve"> </w:t>
      </w:r>
    </w:p>
    <w:p w14:paraId="71C7320B" w14:textId="352549EB" w:rsidR="00402C3E" w:rsidRPr="00685EF7" w:rsidRDefault="00402C3E" w:rsidP="00402C3E">
      <w:pPr>
        <w:pStyle w:val="Bullet1"/>
      </w:pPr>
      <w:r w:rsidRPr="00402C3E">
        <w:t>a complete list of policies is maintained (e.g.</w:t>
      </w:r>
      <w:r w:rsidR="00D079FC">
        <w:t>,</w:t>
      </w:r>
      <w:r w:rsidRPr="00402C3E">
        <w:t xml:space="preserve"> policy website) </w:t>
      </w:r>
      <w:r w:rsidRPr="00685EF7">
        <w:t>and made available to the public upon request to the Office of the Regional Executive Director of Education/Superintendent</w:t>
      </w:r>
    </w:p>
    <w:p w14:paraId="55E8E5D8" w14:textId="518D7092" w:rsidR="005601A4" w:rsidRDefault="005601A4" w:rsidP="00592402">
      <w:pPr>
        <w:pStyle w:val="Sections"/>
      </w:pPr>
      <w:r w:rsidRPr="006A694A">
        <w:fldChar w:fldCharType="begin"/>
      </w:r>
      <w:r w:rsidRPr="006A694A">
        <w:instrText xml:space="preserve"> SEQ CHAPTER \h \r 1</w:instrText>
      </w:r>
      <w:r w:rsidRPr="006A694A">
        <w:fldChar w:fldCharType="end"/>
      </w:r>
      <w:r w:rsidR="00300AF2">
        <w:t>Related Documents</w:t>
      </w:r>
    </w:p>
    <w:p w14:paraId="2EEC3EAB" w14:textId="367B0A24" w:rsidR="00300AF2" w:rsidRDefault="00101CD2" w:rsidP="00300AF2">
      <w:r>
        <w:t>If applicable, provide a b</w:t>
      </w:r>
      <w:r w:rsidR="00300AF2">
        <w:t>ulleted list of supporting</w:t>
      </w:r>
      <w:r w:rsidR="00300AF2" w:rsidRPr="006A694A">
        <w:t xml:space="preserve"> </w:t>
      </w:r>
      <w:r w:rsidR="00300AF2">
        <w:t>documen</w:t>
      </w:r>
      <w:r>
        <w:t>ts (e.g.</w:t>
      </w:r>
      <w:r w:rsidR="00D079FC">
        <w:t>,</w:t>
      </w:r>
      <w:r>
        <w:t xml:space="preserve"> </w:t>
      </w:r>
      <w:r w:rsidR="00300AF2" w:rsidRPr="006A694A">
        <w:t>technical details, specialized glossaries, and other relevant information</w:t>
      </w:r>
      <w:r>
        <w:t>)</w:t>
      </w:r>
      <w:r w:rsidR="00300AF2" w:rsidRPr="006A694A">
        <w:t>.</w:t>
      </w:r>
      <w:r w:rsidR="00300AF2">
        <w:t xml:space="preserve"> When available, hyperlink the title.</w:t>
      </w:r>
    </w:p>
    <w:p w14:paraId="21D1B99A" w14:textId="0034126E" w:rsidR="00017D2E" w:rsidRPr="00D079FC" w:rsidRDefault="00300AF2" w:rsidP="00101CD2">
      <w:pPr>
        <w:pStyle w:val="Bullet1"/>
        <w:rPr>
          <w:i/>
          <w:iCs/>
        </w:rPr>
      </w:pPr>
      <w:r w:rsidRPr="0082559C">
        <w:rPr>
          <w:i/>
          <w:iCs/>
        </w:rPr>
        <w:t>Proper Title of Document</w:t>
      </w:r>
    </w:p>
    <w:p w14:paraId="4B7FA7F7" w14:textId="3EFC5D8F" w:rsidR="005601A4" w:rsidRPr="006A694A" w:rsidRDefault="005601A4" w:rsidP="00017D2E">
      <w:pPr>
        <w:pStyle w:val="Sections"/>
      </w:pPr>
      <w:r w:rsidRPr="00017D2E">
        <w:t>References</w:t>
      </w:r>
    </w:p>
    <w:p w14:paraId="7B5B9D06" w14:textId="07A13B9C" w:rsidR="005601A4" w:rsidRPr="006419B3" w:rsidRDefault="005601A4" w:rsidP="00737999">
      <w:pPr>
        <w:rPr>
          <w:rFonts w:cstheme="minorHAnsi"/>
        </w:rPr>
      </w:pPr>
      <w:r w:rsidRPr="006419B3">
        <w:rPr>
          <w:rFonts w:cstheme="minorHAnsi"/>
        </w:rPr>
        <w:t>A list, including all related legislation and other policies, that should be consulted or implemented in conjunction with the p</w:t>
      </w:r>
      <w:r w:rsidR="00101CD2">
        <w:rPr>
          <w:rFonts w:cstheme="minorHAnsi"/>
        </w:rPr>
        <w:t xml:space="preserve">rocedures. All documents </w:t>
      </w:r>
      <w:r w:rsidRPr="006419B3">
        <w:rPr>
          <w:rFonts w:cstheme="minorHAnsi"/>
        </w:rPr>
        <w:t>cited in the p</w:t>
      </w:r>
      <w:r w:rsidR="00101CD2">
        <w:rPr>
          <w:rFonts w:cstheme="minorHAnsi"/>
        </w:rPr>
        <w:t>rocedure</w:t>
      </w:r>
      <w:r w:rsidR="00D079FC">
        <w:rPr>
          <w:rFonts w:cstheme="minorHAnsi"/>
        </w:rPr>
        <w:t>s</w:t>
      </w:r>
      <w:r w:rsidRPr="006419B3">
        <w:rPr>
          <w:rFonts w:cstheme="minorHAnsi"/>
        </w:rPr>
        <w:t xml:space="preserve"> should </w:t>
      </w:r>
      <w:r w:rsidR="00D20361">
        <w:rPr>
          <w:rFonts w:cstheme="minorHAnsi"/>
        </w:rPr>
        <w:t xml:space="preserve">also </w:t>
      </w:r>
      <w:r w:rsidRPr="006419B3">
        <w:rPr>
          <w:rFonts w:cstheme="minorHAnsi"/>
        </w:rPr>
        <w:t xml:space="preserve">be listed. When available, include hyperlinks. </w:t>
      </w:r>
    </w:p>
    <w:p w14:paraId="04A3D769" w14:textId="72918C51" w:rsidR="005601A4" w:rsidRPr="006419B3" w:rsidRDefault="00D079FC" w:rsidP="005601A4">
      <w:pPr>
        <w:rPr>
          <w:rFonts w:cstheme="minorHAnsi"/>
        </w:rPr>
      </w:pPr>
      <w:r>
        <w:rPr>
          <w:rFonts w:cstheme="minorHAnsi"/>
        </w:rPr>
        <w:t xml:space="preserve">For </w:t>
      </w:r>
      <w:r w:rsidR="005601A4" w:rsidRPr="006419B3">
        <w:rPr>
          <w:rFonts w:cstheme="minorHAnsi"/>
        </w:rPr>
        <w:t xml:space="preserve">regulations, link directly to the regulations on the Department of Justice website: </w:t>
      </w:r>
      <w:hyperlink r:id="rId8" w:anchor="educ" w:history="1">
        <w:r w:rsidR="005601A4" w:rsidRPr="006419B3">
          <w:rPr>
            <w:rStyle w:val="Hyperlink"/>
            <w:rFonts w:cstheme="minorHAnsi"/>
          </w:rPr>
          <w:t>www.novascotia.ca/just/regulations/rxaa-l.htm#educ</w:t>
        </w:r>
      </w:hyperlink>
      <w:r w:rsidR="005601A4" w:rsidRPr="006419B3">
        <w:rPr>
          <w:rFonts w:cstheme="minorHAnsi"/>
        </w:rPr>
        <w:t>.</w:t>
      </w:r>
    </w:p>
    <w:p w14:paraId="2C86B9A2" w14:textId="55112A70" w:rsidR="00576B63" w:rsidRPr="006419B3" w:rsidRDefault="005601A4" w:rsidP="005601A4">
      <w:pPr>
        <w:rPr>
          <w:rFonts w:cstheme="minorHAnsi"/>
        </w:rPr>
      </w:pPr>
      <w:r w:rsidRPr="006419B3">
        <w:rPr>
          <w:rFonts w:cstheme="minorHAnsi"/>
        </w:rPr>
        <w:t xml:space="preserve">For provincial public education policies, link directly to EECD’s </w:t>
      </w:r>
      <w:r w:rsidR="00EF78B6">
        <w:rPr>
          <w:rFonts w:cstheme="minorHAnsi"/>
        </w:rPr>
        <w:t xml:space="preserve">Provincial Education Policies </w:t>
      </w:r>
      <w:r w:rsidRPr="006419B3">
        <w:rPr>
          <w:rFonts w:cstheme="minorHAnsi"/>
        </w:rPr>
        <w:t xml:space="preserve">website: </w:t>
      </w:r>
      <w:r w:rsidR="00576B63" w:rsidRPr="006419B3">
        <w:rPr>
          <w:rFonts w:cstheme="minorHAnsi"/>
        </w:rPr>
        <w:t xml:space="preserve"> </w:t>
      </w:r>
    </w:p>
    <w:p w14:paraId="75B4FF7A" w14:textId="77777777" w:rsidR="00576B63" w:rsidRPr="006419B3" w:rsidRDefault="00B7633A" w:rsidP="00D079FC">
      <w:pPr>
        <w:pStyle w:val="ListParagraph"/>
        <w:numPr>
          <w:ilvl w:val="0"/>
          <w:numId w:val="11"/>
        </w:numPr>
        <w:rPr>
          <w:rStyle w:val="cf01"/>
          <w:rFonts w:asciiTheme="minorHAnsi" w:hAnsiTheme="minorHAnsi" w:cstheme="minorHAnsi"/>
          <w:sz w:val="22"/>
          <w:szCs w:val="22"/>
        </w:rPr>
      </w:pPr>
      <w:hyperlink r:id="rId9" w:history="1">
        <w:r w:rsidR="00576B63" w:rsidRPr="006419B3">
          <w:rPr>
            <w:rStyle w:val="Hyperlink"/>
            <w:rFonts w:cstheme="minorHAnsi"/>
          </w:rPr>
          <w:t>https://www.ednet.ns.ca/policies</w:t>
        </w:r>
      </w:hyperlink>
      <w:r w:rsidR="00576B63" w:rsidRPr="006419B3">
        <w:rPr>
          <w:rStyle w:val="cf01"/>
          <w:rFonts w:asciiTheme="minorHAnsi" w:hAnsiTheme="minorHAnsi" w:cstheme="minorHAnsi"/>
          <w:sz w:val="22"/>
          <w:szCs w:val="22"/>
        </w:rPr>
        <w:t xml:space="preserve"> (English) </w:t>
      </w:r>
    </w:p>
    <w:p w14:paraId="1C8B7DBC" w14:textId="0C034D31" w:rsidR="005601A4" w:rsidRPr="006419B3" w:rsidRDefault="00B7633A" w:rsidP="00D079FC">
      <w:pPr>
        <w:pStyle w:val="ListParagraph"/>
        <w:numPr>
          <w:ilvl w:val="0"/>
          <w:numId w:val="11"/>
        </w:numPr>
        <w:rPr>
          <w:rFonts w:cstheme="minorHAnsi"/>
          <w:lang w:val="fr-CA"/>
        </w:rPr>
      </w:pPr>
      <w:hyperlink r:id="rId10" w:history="1">
        <w:r w:rsidR="00576B63" w:rsidRPr="006419B3">
          <w:rPr>
            <w:rStyle w:val="Hyperlink"/>
            <w:rFonts w:cstheme="minorHAnsi"/>
            <w:lang w:val="fr-CA"/>
          </w:rPr>
          <w:t>https://www.ednet.ns.ca/politiques</w:t>
        </w:r>
      </w:hyperlink>
      <w:r w:rsidR="00576B63" w:rsidRPr="006419B3">
        <w:rPr>
          <w:rStyle w:val="cf01"/>
          <w:rFonts w:asciiTheme="minorHAnsi" w:hAnsiTheme="minorHAnsi" w:cstheme="minorHAnsi"/>
          <w:sz w:val="22"/>
          <w:szCs w:val="22"/>
          <w:lang w:val="fr-CA"/>
        </w:rPr>
        <w:t xml:space="preserve"> (Français)</w:t>
      </w:r>
    </w:p>
    <w:p w14:paraId="2E635DAE" w14:textId="7F6BB8C6" w:rsidR="005601A4" w:rsidRPr="006419B3" w:rsidRDefault="005601A4" w:rsidP="005601A4">
      <w:pPr>
        <w:rPr>
          <w:rFonts w:cstheme="minorHAnsi"/>
          <w:i/>
          <w:iCs/>
        </w:rPr>
      </w:pPr>
      <w:r w:rsidRPr="006419B3">
        <w:rPr>
          <w:rFonts w:cstheme="minorHAnsi"/>
        </w:rPr>
        <w:t>All references should be provided in full and formatted according to the</w:t>
      </w:r>
      <w:r w:rsidRPr="006419B3">
        <w:rPr>
          <w:rFonts w:cstheme="minorHAnsi"/>
          <w:i/>
          <w:iCs/>
        </w:rPr>
        <w:t xml:space="preserve"> </w:t>
      </w:r>
      <w:r w:rsidRPr="006419B3">
        <w:rPr>
          <w:rFonts w:cstheme="minorHAnsi"/>
        </w:rPr>
        <w:t>Chicago Manual of Style</w:t>
      </w:r>
      <w:r w:rsidR="00BF3864" w:rsidRPr="006419B3">
        <w:rPr>
          <w:rFonts w:cstheme="minorHAnsi"/>
        </w:rPr>
        <w:t xml:space="preserve">; online subscription available </w:t>
      </w:r>
      <w:r w:rsidR="006419B3">
        <w:rPr>
          <w:rFonts w:cstheme="minorHAnsi"/>
        </w:rPr>
        <w:t>within</w:t>
      </w:r>
      <w:r w:rsidR="006419B3" w:rsidRPr="006419B3">
        <w:rPr>
          <w:rFonts w:cstheme="minorHAnsi"/>
        </w:rPr>
        <w:t xml:space="preserve"> </w:t>
      </w:r>
      <w:r w:rsidR="00BF3864" w:rsidRPr="006419B3">
        <w:rPr>
          <w:rFonts w:cstheme="minorHAnsi"/>
        </w:rPr>
        <w:t xml:space="preserve">Brunswick Place through the EECD Library: </w:t>
      </w:r>
      <w:r w:rsidR="006419B3" w:rsidRPr="006419B3">
        <w:rPr>
          <w:rFonts w:cstheme="minorHAnsi"/>
        </w:rPr>
        <w:br/>
      </w:r>
      <w:hyperlink r:id="rId11" w:history="1">
        <w:r w:rsidR="00BF3864" w:rsidRPr="006419B3">
          <w:rPr>
            <w:rStyle w:val="Hyperlink"/>
            <w:rFonts w:cstheme="minorHAnsi"/>
          </w:rPr>
          <w:t>Welcome to our library | Departmental Library (ednet.ns.ca)</w:t>
        </w:r>
      </w:hyperlink>
      <w:r w:rsidR="00BF3864" w:rsidRPr="006419B3">
        <w:rPr>
          <w:rFonts w:cstheme="minorHAnsi"/>
        </w:rPr>
        <w:t>.</w:t>
      </w:r>
    </w:p>
    <w:p w14:paraId="25A12B14" w14:textId="31C6CA67" w:rsidR="00576B63" w:rsidRPr="006419B3" w:rsidRDefault="00BF3864" w:rsidP="00E4140B">
      <w:pPr>
        <w:rPr>
          <w:rFonts w:cstheme="minorHAnsi"/>
        </w:rPr>
      </w:pPr>
      <w:r w:rsidRPr="006419B3">
        <w:rPr>
          <w:rFonts w:cstheme="minorHAnsi"/>
        </w:rPr>
        <w:t>See examples below and in other policies/EECD publications:</w:t>
      </w:r>
    </w:p>
    <w:p w14:paraId="01B3BC14" w14:textId="5E31B8BB" w:rsidR="00E4140B" w:rsidRPr="006D01F2" w:rsidRDefault="00E4140B" w:rsidP="00755E80">
      <w:pPr>
        <w:rPr>
          <w:rFonts w:cstheme="minorHAnsi"/>
        </w:rPr>
      </w:pPr>
      <w:r w:rsidRPr="006D01F2">
        <w:rPr>
          <w:rFonts w:cstheme="minorHAnsi"/>
        </w:rPr>
        <w:t xml:space="preserve">Nova Scotia. 2018. </w:t>
      </w:r>
      <w:r w:rsidRPr="000B3EFB">
        <w:rPr>
          <w:rStyle w:val="italics"/>
          <w:rFonts w:asciiTheme="minorHAnsi" w:hAnsiTheme="minorHAnsi" w:cstheme="minorHAnsi"/>
        </w:rPr>
        <w:t>Education Act</w:t>
      </w:r>
      <w:r w:rsidRPr="006D01F2">
        <w:rPr>
          <w:rFonts w:cstheme="minorHAnsi"/>
        </w:rPr>
        <w:t xml:space="preserve">. SNS, c. 1. </w:t>
      </w:r>
      <w:r w:rsidRPr="006D01F2">
        <w:rPr>
          <w:rFonts w:cstheme="minorHAnsi"/>
        </w:rPr>
        <w:br/>
      </w:r>
      <w:r w:rsidRPr="006D01F2">
        <w:rPr>
          <w:rStyle w:val="Hyperlink"/>
          <w:rFonts w:cstheme="minorHAnsi"/>
        </w:rPr>
        <w:t>https://nslegislature.ca/sites/default/files/legc/statutes/education.pdf</w:t>
      </w:r>
      <w:r w:rsidRPr="006D01F2">
        <w:rPr>
          <w:rFonts w:cstheme="minorHAnsi"/>
        </w:rPr>
        <w:t>.</w:t>
      </w:r>
    </w:p>
    <w:p w14:paraId="67430568" w14:textId="43496062" w:rsidR="00E4140B" w:rsidRPr="006D01F2" w:rsidRDefault="00E4140B" w:rsidP="00755E80">
      <w:pPr>
        <w:rPr>
          <w:rFonts w:cstheme="minorHAnsi"/>
        </w:rPr>
      </w:pPr>
      <w:r w:rsidRPr="006D01F2">
        <w:rPr>
          <w:rFonts w:cstheme="minorHAnsi"/>
        </w:rPr>
        <w:t>———. 201</w:t>
      </w:r>
      <w:r w:rsidR="00006F55">
        <w:rPr>
          <w:rFonts w:cstheme="minorHAnsi"/>
        </w:rPr>
        <w:t>9</w:t>
      </w:r>
      <w:r w:rsidRPr="006D01F2">
        <w:rPr>
          <w:rFonts w:cstheme="minorHAnsi"/>
        </w:rPr>
        <w:t xml:space="preserve">. </w:t>
      </w:r>
      <w:r w:rsidRPr="000B3EFB">
        <w:rPr>
          <w:rStyle w:val="italics"/>
          <w:rFonts w:asciiTheme="minorHAnsi" w:hAnsiTheme="minorHAnsi" w:cstheme="minorHAnsi"/>
        </w:rPr>
        <w:t>Education (CSAP) Act</w:t>
      </w:r>
      <w:r w:rsidRPr="006D01F2">
        <w:rPr>
          <w:rFonts w:cstheme="minorHAnsi"/>
        </w:rPr>
        <w:t xml:space="preserve">. SNS, c. 1. </w:t>
      </w:r>
      <w:r w:rsidRPr="006D01F2">
        <w:rPr>
          <w:rFonts w:cstheme="minorHAnsi"/>
        </w:rPr>
        <w:br/>
      </w:r>
      <w:r w:rsidRPr="006D01F2">
        <w:rPr>
          <w:rStyle w:val="Hyperlink"/>
          <w:rFonts w:cstheme="minorHAnsi"/>
        </w:rPr>
        <w:t>https://nslegislature.ca/sites/default/files/legc/statutes/education%20(csap).pdf</w:t>
      </w:r>
      <w:r w:rsidRPr="006D01F2">
        <w:rPr>
          <w:rFonts w:cstheme="minorHAnsi"/>
        </w:rPr>
        <w:t>.</w:t>
      </w:r>
    </w:p>
    <w:p w14:paraId="11336531" w14:textId="7C1F8C74" w:rsidR="00E4140B" w:rsidRPr="006D01F2" w:rsidRDefault="00E4140B" w:rsidP="00755E80">
      <w:pPr>
        <w:rPr>
          <w:rFonts w:cstheme="minorHAnsi"/>
        </w:rPr>
      </w:pPr>
      <w:r w:rsidRPr="006D01F2">
        <w:rPr>
          <w:rFonts w:cstheme="minorHAnsi"/>
        </w:rPr>
        <w:t xml:space="preserve">———. 2016. </w:t>
      </w:r>
      <w:r w:rsidRPr="000B3EFB">
        <w:rPr>
          <w:rStyle w:val="italics"/>
          <w:rFonts w:asciiTheme="minorHAnsi" w:hAnsiTheme="minorHAnsi" w:cstheme="minorHAnsi"/>
        </w:rPr>
        <w:t>Human Rights Act</w:t>
      </w:r>
      <w:r w:rsidRPr="006D01F2">
        <w:rPr>
          <w:rFonts w:cstheme="minorHAnsi"/>
        </w:rPr>
        <w:t>. SNS, c. 214.</w:t>
      </w:r>
      <w:r w:rsidRPr="006D01F2">
        <w:rPr>
          <w:rFonts w:cstheme="minorHAnsi"/>
        </w:rPr>
        <w:br/>
      </w:r>
      <w:hyperlink r:id="rId12" w:history="1">
        <w:r w:rsidRPr="006D01F2">
          <w:rPr>
            <w:rStyle w:val="Hyperlink"/>
            <w:rFonts w:cstheme="minorHAnsi"/>
          </w:rPr>
          <w:t>https://nslegislature.ca/sites/default/files/legc/statutes/human%20rights.pdf</w:t>
        </w:r>
      </w:hyperlink>
      <w:r w:rsidRPr="006D01F2">
        <w:rPr>
          <w:rFonts w:cstheme="minorHAnsi"/>
        </w:rPr>
        <w:t>.</w:t>
      </w:r>
    </w:p>
    <w:p w14:paraId="7E986C01" w14:textId="77777777" w:rsidR="000B3EFB" w:rsidRDefault="00576B63" w:rsidP="000B3EFB">
      <w:pPr>
        <w:rPr>
          <w:rFonts w:cstheme="minorHAnsi"/>
        </w:rPr>
      </w:pPr>
      <w:r w:rsidRPr="006D01F2">
        <w:rPr>
          <w:rFonts w:cstheme="minorHAnsi"/>
        </w:rPr>
        <w:t xml:space="preserve">Nova Scotia Department of Education and Early Childhood Development. 2019. </w:t>
      </w:r>
      <w:r w:rsidRPr="000B3EFB">
        <w:rPr>
          <w:rFonts w:cstheme="minorHAnsi"/>
          <w:i/>
          <w:iCs/>
        </w:rPr>
        <w:t>Inclusive Education Policy</w:t>
      </w:r>
      <w:r w:rsidRPr="006D01F2">
        <w:rPr>
          <w:rFonts w:cstheme="minorHAnsi"/>
        </w:rPr>
        <w:t xml:space="preserve">. Halifax, NS: Province of Nova Scotia. </w:t>
      </w:r>
      <w:r w:rsidRPr="006D01F2">
        <w:rPr>
          <w:rStyle w:val="Hyperlink"/>
          <w:rFonts w:cstheme="minorHAnsi"/>
        </w:rPr>
        <w:t>https://www.ednet.ns.ca/docs/inclusiveeducationpolicyen.pdf</w:t>
      </w:r>
      <w:r w:rsidRPr="006D01F2">
        <w:rPr>
          <w:rFonts w:cstheme="minorHAnsi"/>
        </w:rPr>
        <w:t>.</w:t>
      </w:r>
      <w:r w:rsidR="000B3EFB" w:rsidRPr="006D01F2" w:rsidDel="000B3EFB">
        <w:rPr>
          <w:rFonts w:cstheme="minorHAnsi"/>
        </w:rPr>
        <w:t xml:space="preserve"> </w:t>
      </w:r>
    </w:p>
    <w:p w14:paraId="65FFDD5E" w14:textId="50B96C41" w:rsidR="00AD0BB6" w:rsidRPr="00E34D36" w:rsidRDefault="00AD0BB6" w:rsidP="00E056C5">
      <w:pPr>
        <w:spacing w:after="160"/>
        <w:rPr>
          <w:sz w:val="14"/>
          <w:szCs w:val="14"/>
        </w:rPr>
      </w:pPr>
    </w:p>
    <w:sectPr w:rsidR="00AD0BB6" w:rsidRPr="00E34D36" w:rsidSect="008B7727"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1DBEC" w14:textId="77777777" w:rsidR="008B7727" w:rsidRDefault="008B7727" w:rsidP="006C2E61">
      <w:pPr>
        <w:spacing w:before="0" w:after="0"/>
      </w:pPr>
      <w:r>
        <w:separator/>
      </w:r>
    </w:p>
  </w:endnote>
  <w:endnote w:type="continuationSeparator" w:id="0">
    <w:p w14:paraId="19A80E85" w14:textId="77777777" w:rsidR="008B7727" w:rsidRDefault="008B7727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(OTF)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(OTF) Italic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0FAB5677" w:rsidR="006C2E61" w:rsidRPr="006C2E61" w:rsidRDefault="00592402" w:rsidP="00592402">
            <w:pPr>
              <w:pStyle w:val="Footer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Name of </w:t>
            </w:r>
            <w:r w:rsidR="00300AF2">
              <w:rPr>
                <w:b/>
                <w:bCs/>
                <w:color w:val="2F5496" w:themeColor="accent1" w:themeShade="BF"/>
                <w:sz w:val="18"/>
                <w:szCs w:val="18"/>
              </w:rPr>
              <w:t>Administrative Procedure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  <w:t xml:space="preserve"> 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Page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="006C2E61"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="006C2E61"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58F2" w14:textId="77777777" w:rsidR="008B7727" w:rsidRDefault="008B7727" w:rsidP="006C2E61">
      <w:pPr>
        <w:spacing w:before="0" w:after="0"/>
      </w:pPr>
      <w:r>
        <w:separator/>
      </w:r>
    </w:p>
  </w:footnote>
  <w:footnote w:type="continuationSeparator" w:id="0">
    <w:p w14:paraId="5F4C8964" w14:textId="77777777" w:rsidR="008B7727" w:rsidRDefault="008B7727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B08F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4876"/>
    <w:multiLevelType w:val="hybridMultilevel"/>
    <w:tmpl w:val="5BBA5CE4"/>
    <w:lvl w:ilvl="0" w:tplc="03541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BE0E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2856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9657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62DC3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AE56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44639A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C2DAD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4EA7B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938EC"/>
    <w:multiLevelType w:val="hybridMultilevel"/>
    <w:tmpl w:val="104C876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FE39A7"/>
    <w:multiLevelType w:val="hybridMultilevel"/>
    <w:tmpl w:val="1054E612"/>
    <w:lvl w:ilvl="0" w:tplc="F5CC2036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-140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5" w15:restartNumberingAfterBreak="0">
    <w:nsid w:val="2C13121C"/>
    <w:multiLevelType w:val="multilevel"/>
    <w:tmpl w:val="A1862C84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E91A58"/>
    <w:multiLevelType w:val="multilevel"/>
    <w:tmpl w:val="12825DD2"/>
    <w:lvl w:ilvl="0">
      <w:start w:val="1"/>
      <w:numFmt w:val="decimal"/>
      <w:pStyle w:val="Sections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66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6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7" w15:restartNumberingAfterBreak="0">
    <w:nsid w:val="4D5627F2"/>
    <w:multiLevelType w:val="hybridMultilevel"/>
    <w:tmpl w:val="477E20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908DF"/>
    <w:multiLevelType w:val="hybridMultilevel"/>
    <w:tmpl w:val="F3D24DDC"/>
    <w:lvl w:ilvl="0" w:tplc="768C3FA4">
      <w:start w:val="1"/>
      <w:numFmt w:val="decimal"/>
      <w:lvlText w:val="%1"/>
      <w:lvlJc w:val="left"/>
      <w:pPr>
        <w:ind w:left="720" w:hanging="360"/>
      </w:pPr>
      <w:rPr>
        <w:rFonts w:ascii="Roboto" w:hAnsi="Roboto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F5D69"/>
    <w:multiLevelType w:val="hybridMultilevel"/>
    <w:tmpl w:val="CE24C6F0"/>
    <w:lvl w:ilvl="0" w:tplc="998065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759253">
    <w:abstractNumId w:val="4"/>
  </w:num>
  <w:num w:numId="2" w16cid:durableId="1144854880">
    <w:abstractNumId w:val="5"/>
  </w:num>
  <w:num w:numId="3" w16cid:durableId="491139623">
    <w:abstractNumId w:val="6"/>
  </w:num>
  <w:num w:numId="4" w16cid:durableId="366372257">
    <w:abstractNumId w:val="6"/>
    <w:lvlOverride w:ilvl="0">
      <w:startOverride w:val="1"/>
    </w:lvlOverride>
  </w:num>
  <w:num w:numId="5" w16cid:durableId="2010786213">
    <w:abstractNumId w:val="8"/>
  </w:num>
  <w:num w:numId="6" w16cid:durableId="78910239">
    <w:abstractNumId w:val="0"/>
  </w:num>
  <w:num w:numId="7" w16cid:durableId="1778520194">
    <w:abstractNumId w:val="2"/>
  </w:num>
  <w:num w:numId="8" w16cid:durableId="278340955">
    <w:abstractNumId w:val="7"/>
  </w:num>
  <w:num w:numId="9" w16cid:durableId="477696934">
    <w:abstractNumId w:val="3"/>
  </w:num>
  <w:num w:numId="10" w16cid:durableId="1742557850">
    <w:abstractNumId w:val="1"/>
  </w:num>
  <w:num w:numId="11" w16cid:durableId="1413509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06F55"/>
    <w:rsid w:val="00017D2E"/>
    <w:rsid w:val="00045622"/>
    <w:rsid w:val="000B3EFB"/>
    <w:rsid w:val="000C1320"/>
    <w:rsid w:val="000D5039"/>
    <w:rsid w:val="00101CD2"/>
    <w:rsid w:val="00154AB6"/>
    <w:rsid w:val="00195322"/>
    <w:rsid w:val="001A2F76"/>
    <w:rsid w:val="001A522A"/>
    <w:rsid w:val="001D072E"/>
    <w:rsid w:val="00233F83"/>
    <w:rsid w:val="00243755"/>
    <w:rsid w:val="002479D0"/>
    <w:rsid w:val="002549BB"/>
    <w:rsid w:val="002718C8"/>
    <w:rsid w:val="002A7B7B"/>
    <w:rsid w:val="002C7680"/>
    <w:rsid w:val="002E78B2"/>
    <w:rsid w:val="00300AF2"/>
    <w:rsid w:val="0034740B"/>
    <w:rsid w:val="003631B9"/>
    <w:rsid w:val="00367CD5"/>
    <w:rsid w:val="003812FA"/>
    <w:rsid w:val="00390D5C"/>
    <w:rsid w:val="003C4AB3"/>
    <w:rsid w:val="003C669D"/>
    <w:rsid w:val="003D6148"/>
    <w:rsid w:val="00402C3E"/>
    <w:rsid w:val="00403708"/>
    <w:rsid w:val="00485544"/>
    <w:rsid w:val="004A5C09"/>
    <w:rsid w:val="004B2B95"/>
    <w:rsid w:val="004D150B"/>
    <w:rsid w:val="004D1B24"/>
    <w:rsid w:val="004E4146"/>
    <w:rsid w:val="00501575"/>
    <w:rsid w:val="00507331"/>
    <w:rsid w:val="00521117"/>
    <w:rsid w:val="00532349"/>
    <w:rsid w:val="00555FD5"/>
    <w:rsid w:val="005601A4"/>
    <w:rsid w:val="00571F42"/>
    <w:rsid w:val="00576B63"/>
    <w:rsid w:val="00592402"/>
    <w:rsid w:val="005E3B15"/>
    <w:rsid w:val="00626793"/>
    <w:rsid w:val="006419B3"/>
    <w:rsid w:val="006476E4"/>
    <w:rsid w:val="00696CCF"/>
    <w:rsid w:val="006C2E61"/>
    <w:rsid w:val="006D01F2"/>
    <w:rsid w:val="007330E5"/>
    <w:rsid w:val="00737999"/>
    <w:rsid w:val="00755E80"/>
    <w:rsid w:val="00794B0E"/>
    <w:rsid w:val="008001E0"/>
    <w:rsid w:val="00855F16"/>
    <w:rsid w:val="00873349"/>
    <w:rsid w:val="008B7727"/>
    <w:rsid w:val="00920591"/>
    <w:rsid w:val="0098273C"/>
    <w:rsid w:val="00A278D0"/>
    <w:rsid w:val="00A57339"/>
    <w:rsid w:val="00AA1389"/>
    <w:rsid w:val="00AA62E5"/>
    <w:rsid w:val="00AD0BB6"/>
    <w:rsid w:val="00B12380"/>
    <w:rsid w:val="00B15862"/>
    <w:rsid w:val="00B44683"/>
    <w:rsid w:val="00B47465"/>
    <w:rsid w:val="00B7633A"/>
    <w:rsid w:val="00BB34E6"/>
    <w:rsid w:val="00BC1A27"/>
    <w:rsid w:val="00BD3F8E"/>
    <w:rsid w:val="00BF3864"/>
    <w:rsid w:val="00C11F5F"/>
    <w:rsid w:val="00C204AA"/>
    <w:rsid w:val="00C276AA"/>
    <w:rsid w:val="00CB69F9"/>
    <w:rsid w:val="00D03C8A"/>
    <w:rsid w:val="00D079FC"/>
    <w:rsid w:val="00D147AF"/>
    <w:rsid w:val="00D20361"/>
    <w:rsid w:val="00D45327"/>
    <w:rsid w:val="00D6313F"/>
    <w:rsid w:val="00D63625"/>
    <w:rsid w:val="00D739B7"/>
    <w:rsid w:val="00D77FAD"/>
    <w:rsid w:val="00DA41F6"/>
    <w:rsid w:val="00DA489A"/>
    <w:rsid w:val="00DB5B73"/>
    <w:rsid w:val="00DC688D"/>
    <w:rsid w:val="00DF2107"/>
    <w:rsid w:val="00DF5B04"/>
    <w:rsid w:val="00E01D68"/>
    <w:rsid w:val="00E056C5"/>
    <w:rsid w:val="00E13B43"/>
    <w:rsid w:val="00E33E8C"/>
    <w:rsid w:val="00E34D36"/>
    <w:rsid w:val="00E4140B"/>
    <w:rsid w:val="00E45139"/>
    <w:rsid w:val="00EF5272"/>
    <w:rsid w:val="00EF78B6"/>
    <w:rsid w:val="00F012AA"/>
    <w:rsid w:val="00F90BCE"/>
    <w:rsid w:val="00FA3BD9"/>
    <w:rsid w:val="00FD049D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37999"/>
    <w:pPr>
      <w:spacing w:before="120" w:after="12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5601A4"/>
    <w:pPr>
      <w:keepNext/>
      <w:keepLines/>
      <w:spacing w:after="240"/>
      <w:outlineLvl w:val="0"/>
    </w:pPr>
    <w:rPr>
      <w:rFonts w:eastAsiaTheme="majorEastAsia" w:cstheme="majorBidi"/>
      <w:b/>
      <w:color w:val="0070C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C3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D079FC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AD0BB6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601A4"/>
    <w:rPr>
      <w:rFonts w:ascii="Roboto" w:eastAsiaTheme="majorEastAsia" w:hAnsi="Roboto" w:cstheme="majorBidi"/>
      <w:b/>
      <w:color w:val="0070C0"/>
      <w:kern w:val="0"/>
      <w:sz w:val="36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paragraph" w:customStyle="1" w:styleId="Header1">
    <w:name w:val="Header 1"/>
    <w:basedOn w:val="Normal"/>
    <w:uiPriority w:val="99"/>
    <w:rsid w:val="005601A4"/>
    <w:pPr>
      <w:suppressAutoHyphens/>
      <w:autoSpaceDE w:val="0"/>
      <w:autoSpaceDN w:val="0"/>
      <w:adjustRightInd w:val="0"/>
      <w:spacing w:before="0" w:after="360" w:line="400" w:lineRule="atLeast"/>
      <w:textAlignment w:val="center"/>
    </w:pPr>
    <w:rPr>
      <w:rFonts w:cs="Roboto"/>
      <w:b/>
      <w:bCs/>
      <w:color w:val="1B449C"/>
      <w:sz w:val="34"/>
      <w:szCs w:val="34"/>
      <w:lang w:val="en-US"/>
      <w14:ligatures w14:val="standardContextual"/>
    </w:rPr>
  </w:style>
  <w:style w:type="paragraph" w:customStyle="1" w:styleId="body">
    <w:name w:val="body"/>
    <w:basedOn w:val="Normal"/>
    <w:uiPriority w:val="99"/>
    <w:rsid w:val="005601A4"/>
    <w:pPr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cs="Roboto"/>
      <w:color w:val="000000"/>
      <w:sz w:val="20"/>
      <w:szCs w:val="20"/>
      <w:lang w:val="en-US"/>
      <w14:ligatures w14:val="standardContextual"/>
    </w:rPr>
  </w:style>
  <w:style w:type="character" w:customStyle="1" w:styleId="bold">
    <w:name w:val="bold"/>
    <w:uiPriority w:val="99"/>
    <w:rsid w:val="005601A4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1A4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601A4"/>
  </w:style>
  <w:style w:type="paragraph" w:customStyle="1" w:styleId="Sections">
    <w:name w:val="Sections"/>
    <w:basedOn w:val="Heading1"/>
    <w:link w:val="SectionsChar"/>
    <w:qFormat/>
    <w:rsid w:val="006419B3"/>
    <w:pPr>
      <w:numPr>
        <w:numId w:val="3"/>
      </w:numPr>
      <w:tabs>
        <w:tab w:val="num" w:pos="360"/>
        <w:tab w:val="num" w:pos="567"/>
      </w:tabs>
      <w:spacing w:before="360"/>
      <w:ind w:left="0" w:firstLine="0"/>
    </w:pPr>
    <w:rPr>
      <w:color w:val="2F5496" w:themeColor="accent1" w:themeShade="BF"/>
      <w:sz w:val="28"/>
    </w:rPr>
  </w:style>
  <w:style w:type="character" w:customStyle="1" w:styleId="SectionsChar">
    <w:name w:val="Sections Char"/>
    <w:basedOn w:val="Heading1Char"/>
    <w:link w:val="Sections"/>
    <w:rsid w:val="006419B3"/>
    <w:rPr>
      <w:rFonts w:ascii="Roboto" w:eastAsiaTheme="majorEastAsia" w:hAnsi="Roboto" w:cstheme="majorBidi"/>
      <w:b/>
      <w:color w:val="2F5496" w:themeColor="accent1" w:themeShade="BF"/>
      <w:kern w:val="0"/>
      <w:sz w:val="28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BB34E6"/>
    <w:pPr>
      <w:ind w:left="720"/>
      <w:contextualSpacing/>
    </w:pPr>
  </w:style>
  <w:style w:type="paragraph" w:customStyle="1" w:styleId="Numbering">
    <w:name w:val="Numbering"/>
    <w:basedOn w:val="Normal"/>
    <w:link w:val="NumberingChar"/>
    <w:qFormat/>
    <w:rsid w:val="00BB34E6"/>
    <w:pPr>
      <w:ind w:left="709" w:hanging="709"/>
    </w:pPr>
  </w:style>
  <w:style w:type="character" w:customStyle="1" w:styleId="NumberingChar">
    <w:name w:val="Numbering Char"/>
    <w:basedOn w:val="DefaultParagraphFont"/>
    <w:link w:val="Numbering"/>
    <w:rsid w:val="00BB34E6"/>
    <w:rPr>
      <w:rFonts w:ascii="Roboto" w:hAnsi="Roboto"/>
      <w:kern w:val="0"/>
      <w14:ligatures w14:val="none"/>
    </w:rPr>
  </w:style>
  <w:style w:type="character" w:styleId="SubtleEmphasis">
    <w:name w:val="Subtle Emphasis"/>
    <w:basedOn w:val="DefaultParagraphFont"/>
    <w:uiPriority w:val="19"/>
    <w:rsid w:val="0059240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92402"/>
    <w:rPr>
      <w:i/>
      <w:iCs/>
    </w:rPr>
  </w:style>
  <w:style w:type="paragraph" w:styleId="ListBullet">
    <w:name w:val="List Bullet"/>
    <w:basedOn w:val="Normal"/>
    <w:uiPriority w:val="99"/>
    <w:unhideWhenUsed/>
    <w:rsid w:val="00592402"/>
    <w:pPr>
      <w:numPr>
        <w:numId w:val="6"/>
      </w:numPr>
      <w:contextualSpacing/>
    </w:pPr>
  </w:style>
  <w:style w:type="paragraph" w:customStyle="1" w:styleId="PolicyTitle">
    <w:name w:val="Policy Title"/>
    <w:basedOn w:val="Sections"/>
    <w:link w:val="PolicyTitleChar"/>
    <w:qFormat/>
    <w:rsid w:val="00737999"/>
    <w:pPr>
      <w:numPr>
        <w:numId w:val="0"/>
      </w:numPr>
      <w:tabs>
        <w:tab w:val="num" w:pos="567"/>
      </w:tabs>
    </w:pPr>
    <w:rPr>
      <w:sz w:val="44"/>
    </w:rPr>
  </w:style>
  <w:style w:type="character" w:customStyle="1" w:styleId="PolicyTitleChar">
    <w:name w:val="Policy Title Char"/>
    <w:basedOn w:val="SectionsChar"/>
    <w:link w:val="PolicyTitle"/>
    <w:rsid w:val="00737999"/>
    <w:rPr>
      <w:rFonts w:ascii="Roboto" w:eastAsiaTheme="majorEastAsia" w:hAnsi="Roboto" w:cstheme="majorBidi"/>
      <w:b/>
      <w:color w:val="2F5496" w:themeColor="accent1" w:themeShade="BF"/>
      <w:kern w:val="0"/>
      <w:sz w:val="44"/>
      <w:szCs w:val="32"/>
      <w14:ligatures w14:val="none"/>
    </w:rPr>
  </w:style>
  <w:style w:type="paragraph" w:customStyle="1" w:styleId="Subsection">
    <w:name w:val="Subsection"/>
    <w:basedOn w:val="Normal"/>
    <w:link w:val="SubsectionChar"/>
    <w:qFormat/>
    <w:rsid w:val="00E13B43"/>
    <w:pPr>
      <w:spacing w:before="240"/>
    </w:pPr>
    <w:rPr>
      <w:b/>
      <w:bCs/>
      <w:sz w:val="24"/>
    </w:rPr>
  </w:style>
  <w:style w:type="character" w:customStyle="1" w:styleId="SubsectionChar">
    <w:name w:val="Subsection Char"/>
    <w:basedOn w:val="DefaultParagraphFont"/>
    <w:link w:val="Subsection"/>
    <w:rsid w:val="00E13B43"/>
    <w:rPr>
      <w:b/>
      <w:bCs/>
      <w:kern w:val="0"/>
      <w:sz w:val="24"/>
      <w14:ligatures w14:val="none"/>
    </w:rPr>
  </w:style>
  <w:style w:type="paragraph" w:customStyle="1" w:styleId="BodyHeadings">
    <w:name w:val="Body Headings"/>
    <w:basedOn w:val="body"/>
    <w:uiPriority w:val="99"/>
    <w:rsid w:val="00E4140B"/>
    <w:pPr>
      <w:spacing w:before="90" w:after="90"/>
    </w:pPr>
    <w:rPr>
      <w:b/>
      <w:bCs/>
    </w:rPr>
  </w:style>
  <w:style w:type="character" w:customStyle="1" w:styleId="italics">
    <w:name w:val="italics"/>
    <w:uiPriority w:val="99"/>
    <w:rsid w:val="00E4140B"/>
    <w:rPr>
      <w:rFonts w:ascii="Roboto" w:hAnsi="Roboto" w:cs="Roboto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140B"/>
    <w:rPr>
      <w:color w:val="605E5C"/>
      <w:shd w:val="clear" w:color="auto" w:fill="E1DFDD"/>
    </w:rPr>
  </w:style>
  <w:style w:type="paragraph" w:customStyle="1" w:styleId="02Body">
    <w:name w:val="02_Body"/>
    <w:basedOn w:val="Normal"/>
    <w:uiPriority w:val="99"/>
    <w:rsid w:val="00E4140B"/>
    <w:pPr>
      <w:suppressAutoHyphens/>
      <w:autoSpaceDE w:val="0"/>
      <w:autoSpaceDN w:val="0"/>
      <w:adjustRightInd w:val="0"/>
      <w:spacing w:before="0" w:after="180" w:line="280" w:lineRule="atLeast"/>
      <w:textAlignment w:val="center"/>
    </w:pPr>
    <w:rPr>
      <w:rFonts w:ascii="Roboto (OTF)" w:hAnsi="Roboto (OTF)" w:cs="Roboto (OTF)"/>
      <w:color w:val="000000"/>
      <w:sz w:val="20"/>
      <w:szCs w:val="20"/>
      <w:lang w:val="en-US"/>
      <w14:ligatures w14:val="standardContextual"/>
    </w:rPr>
  </w:style>
  <w:style w:type="character" w:customStyle="1" w:styleId="Italic">
    <w:name w:val="Italic"/>
    <w:uiPriority w:val="99"/>
    <w:rsid w:val="00E4140B"/>
    <w:rPr>
      <w:rFonts w:ascii="Roboto (OTF) Italic" w:hAnsi="Roboto (OTF) Italic" w:cs="Roboto (OTF) Italic"/>
      <w:i/>
      <w:iCs/>
    </w:rPr>
  </w:style>
  <w:style w:type="paragraph" w:customStyle="1" w:styleId="Bullet2">
    <w:name w:val="Bullet 2"/>
    <w:basedOn w:val="Bullet1"/>
    <w:link w:val="Bullet2Char"/>
    <w:qFormat/>
    <w:rsid w:val="001A522A"/>
    <w:pPr>
      <w:numPr>
        <w:numId w:val="9"/>
      </w:numPr>
    </w:pPr>
  </w:style>
  <w:style w:type="character" w:customStyle="1" w:styleId="Bullet2Char">
    <w:name w:val="Bullet 2 Char"/>
    <w:basedOn w:val="Bullet1Char"/>
    <w:link w:val="Bullet2"/>
    <w:rsid w:val="001A522A"/>
    <w:rPr>
      <w:rFonts w:ascii="Roboto" w:hAnsi="Roboto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F78B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02C3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cotia.ca/just/regulations/rxaa-l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slegislature.ca/sites/default/files/legc/statutes/human%20righ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cationlibrary.ednet.ns.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dnet.ns.ca/politiq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net.ns.ca/polic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2</cp:revision>
  <dcterms:created xsi:type="dcterms:W3CDTF">2024-04-25T13:02:00Z</dcterms:created>
  <dcterms:modified xsi:type="dcterms:W3CDTF">2024-04-25T13:02:00Z</dcterms:modified>
</cp:coreProperties>
</file>